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437BF"/>
    <w:p w14:paraId="17A72E5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B897361">
      <w:pPr>
        <w:spacing w:line="540" w:lineRule="exact"/>
        <w:jc w:val="center"/>
        <w:rPr>
          <w:rFonts w:ascii="华文中宋" w:hAnsi="华文中宋" w:eastAsia="华文中宋" w:cs="宋体"/>
          <w:b/>
          <w:kern w:val="0"/>
          <w:sz w:val="52"/>
          <w:szCs w:val="52"/>
        </w:rPr>
      </w:pPr>
    </w:p>
    <w:p w14:paraId="36F74662">
      <w:pPr>
        <w:spacing w:line="540" w:lineRule="exact"/>
        <w:jc w:val="center"/>
        <w:rPr>
          <w:rFonts w:ascii="华文中宋" w:hAnsi="华文中宋" w:eastAsia="华文中宋" w:cs="宋体"/>
          <w:b/>
          <w:kern w:val="0"/>
          <w:sz w:val="52"/>
          <w:szCs w:val="52"/>
        </w:rPr>
      </w:pPr>
    </w:p>
    <w:p w14:paraId="3723E3FF">
      <w:pPr>
        <w:spacing w:line="540" w:lineRule="exact"/>
        <w:jc w:val="center"/>
        <w:rPr>
          <w:rFonts w:ascii="华文中宋" w:hAnsi="华文中宋" w:eastAsia="华文中宋" w:cs="宋体"/>
          <w:b/>
          <w:kern w:val="0"/>
          <w:sz w:val="52"/>
          <w:szCs w:val="52"/>
        </w:rPr>
      </w:pPr>
    </w:p>
    <w:p w14:paraId="46B3E5A7">
      <w:pPr>
        <w:spacing w:line="540" w:lineRule="exact"/>
        <w:jc w:val="center"/>
        <w:rPr>
          <w:rFonts w:ascii="华文中宋" w:hAnsi="华文中宋" w:eastAsia="华文中宋" w:cs="宋体"/>
          <w:b/>
          <w:kern w:val="0"/>
          <w:sz w:val="52"/>
          <w:szCs w:val="52"/>
        </w:rPr>
      </w:pPr>
    </w:p>
    <w:p w14:paraId="75D32744">
      <w:pPr>
        <w:spacing w:line="540" w:lineRule="exact"/>
        <w:jc w:val="center"/>
        <w:rPr>
          <w:rFonts w:ascii="华文中宋" w:hAnsi="华文中宋" w:eastAsia="华文中宋" w:cs="宋体"/>
          <w:b/>
          <w:kern w:val="0"/>
          <w:sz w:val="52"/>
          <w:szCs w:val="52"/>
        </w:rPr>
      </w:pPr>
    </w:p>
    <w:p w14:paraId="3DD97A40">
      <w:pPr>
        <w:spacing w:line="540" w:lineRule="exact"/>
        <w:jc w:val="center"/>
        <w:rPr>
          <w:rFonts w:ascii="华文中宋" w:hAnsi="华文中宋" w:eastAsia="华文中宋" w:cs="宋体"/>
          <w:b/>
          <w:kern w:val="0"/>
          <w:sz w:val="52"/>
          <w:szCs w:val="52"/>
        </w:rPr>
      </w:pPr>
    </w:p>
    <w:p w14:paraId="12155B9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EAE46A3">
      <w:pPr>
        <w:spacing w:line="540" w:lineRule="exact"/>
        <w:jc w:val="center"/>
        <w:rPr>
          <w:rFonts w:ascii="华文中宋" w:hAnsi="华文中宋" w:eastAsia="华文中宋" w:cs="宋体"/>
          <w:b/>
          <w:kern w:val="0"/>
          <w:sz w:val="52"/>
          <w:szCs w:val="52"/>
        </w:rPr>
      </w:pPr>
    </w:p>
    <w:p w14:paraId="252D069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83E0537">
      <w:pPr>
        <w:spacing w:line="540" w:lineRule="exact"/>
        <w:jc w:val="center"/>
        <w:rPr>
          <w:rFonts w:hAnsi="宋体" w:eastAsia="仿宋_GB2312" w:cs="宋体"/>
          <w:kern w:val="0"/>
          <w:sz w:val="30"/>
          <w:szCs w:val="30"/>
        </w:rPr>
      </w:pPr>
    </w:p>
    <w:p w14:paraId="5A345EF3">
      <w:pPr>
        <w:spacing w:line="540" w:lineRule="exact"/>
        <w:jc w:val="center"/>
        <w:rPr>
          <w:rFonts w:hAnsi="宋体" w:eastAsia="仿宋_GB2312" w:cs="宋体"/>
          <w:kern w:val="0"/>
          <w:sz w:val="30"/>
          <w:szCs w:val="30"/>
        </w:rPr>
      </w:pPr>
    </w:p>
    <w:p w14:paraId="710532A9">
      <w:pPr>
        <w:spacing w:line="540" w:lineRule="exact"/>
        <w:jc w:val="center"/>
        <w:rPr>
          <w:rFonts w:hAnsi="宋体" w:eastAsia="仿宋_GB2312" w:cs="宋体"/>
          <w:kern w:val="0"/>
          <w:sz w:val="30"/>
          <w:szCs w:val="30"/>
        </w:rPr>
      </w:pPr>
    </w:p>
    <w:p w14:paraId="5A2C5A0F">
      <w:pPr>
        <w:spacing w:line="540" w:lineRule="exact"/>
        <w:jc w:val="center"/>
        <w:rPr>
          <w:rFonts w:hAnsi="宋体" w:eastAsia="仿宋_GB2312" w:cs="宋体"/>
          <w:kern w:val="0"/>
          <w:sz w:val="30"/>
          <w:szCs w:val="30"/>
        </w:rPr>
      </w:pPr>
    </w:p>
    <w:p w14:paraId="7F1A4475">
      <w:pPr>
        <w:spacing w:line="540" w:lineRule="exact"/>
        <w:jc w:val="center"/>
        <w:rPr>
          <w:rFonts w:hAnsi="宋体" w:eastAsia="仿宋_GB2312" w:cs="宋体"/>
          <w:kern w:val="0"/>
          <w:sz w:val="30"/>
          <w:szCs w:val="30"/>
        </w:rPr>
      </w:pPr>
    </w:p>
    <w:p w14:paraId="0AC967A7">
      <w:pPr>
        <w:spacing w:line="540" w:lineRule="exact"/>
        <w:jc w:val="center"/>
        <w:rPr>
          <w:rFonts w:hAnsi="宋体" w:eastAsia="仿宋_GB2312" w:cs="宋体"/>
          <w:kern w:val="0"/>
          <w:sz w:val="30"/>
          <w:szCs w:val="30"/>
        </w:rPr>
      </w:pPr>
    </w:p>
    <w:p w14:paraId="2CE1EF0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E480D1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交通局昌州财建[2023]159号—关于提前下达2024年车辆购置税收入补助地方[第一批]用于普通省道及农村公路建设“以奖代补”资金预算的通知</w:t>
      </w:r>
    </w:p>
    <w:p w14:paraId="098F1C3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吉木萨尔县交通局本级</w:t>
      </w:r>
    </w:p>
    <w:p w14:paraId="761B21D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吉木萨尔县交通局本级</w:t>
      </w:r>
    </w:p>
    <w:p w14:paraId="57A1960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刘祥</w:t>
      </w:r>
    </w:p>
    <w:p w14:paraId="1A51F4F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2025年05月14日</w:t>
      </w:r>
    </w:p>
    <w:p w14:paraId="3BFEA246">
      <w:pPr>
        <w:spacing w:line="700" w:lineRule="exact"/>
        <w:ind w:firstLine="708" w:firstLineChars="236"/>
        <w:jc w:val="left"/>
        <w:rPr>
          <w:rFonts w:hAnsi="宋体" w:eastAsia="仿宋_GB2312" w:cs="宋体"/>
          <w:kern w:val="0"/>
          <w:sz w:val="30"/>
          <w:szCs w:val="30"/>
        </w:rPr>
      </w:pPr>
    </w:p>
    <w:p w14:paraId="30B51520">
      <w:pPr>
        <w:spacing w:line="540" w:lineRule="exact"/>
        <w:rPr>
          <w:rStyle w:val="19"/>
          <w:rFonts w:ascii="黑体" w:hAnsi="黑体" w:eastAsia="黑体"/>
          <w:b w:val="0"/>
          <w:spacing w:val="-4"/>
          <w:sz w:val="32"/>
          <w:szCs w:val="32"/>
        </w:rPr>
      </w:pPr>
    </w:p>
    <w:p w14:paraId="12CC454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2C15567">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68076DB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为进一步改善居民出行条件，提高地区公路运输条件，缩短运营时间，促进乡镇旅游业和农业。畜牧业发展具有重要作用。完善吉木萨尔县域路网结构，坚持以人为本，切实提高群众满意度，切实改变“闭眼难见三春景，出水才看两腿泥”的状况， 吉木萨尔县2024年农村公路建设项目总投资5000万元，其中上级补助资金3983.74万元，完成铺设长度为73.53公里的农村公路附属设施建设工作。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（1）项目名称：交通局昌州财建[2023]159号—关于提前下达2024年车辆购置税收入补助地方[第一批]用于普通省道及农村公路建设“以奖代补”资金预算的通知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（2）项目主要内容：路线长73.53km，由多条路线和交叉口组成，涉及路线分别为C002、C003、C004、C005 等。主要建设内容为路基路面，桥涵及其交通附属设施，设计时速20km/h，路基、路面宽度6.5m/6.0m、5.5m/5.0m、4.5m/4.0m、3.5m/3.0m不等。农村公路安全隐患里程126公里，主要建设内容为农村公路的标志标牌，标线，挡墙，轮廓标，钢护柱，波形梁钢护栏等公路附属设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实施主体：吉木萨尔县交通运输局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实施情况：该项目于2024年4月开工建设，主要实施包括路线长73.53km，由多条路线和交叉口组成，涉及路线分别为C002、C003、C004、C005 等。主要建设内容为路基路面，桥涵及其交通附属设施，设计时速20km/h，路基、路面宽度6.5m/6.0m、5.5m/5.0m、4.5m/4.0m、3.5m/3.0m不等。农村公路安全隐患里程126公里，主要建设内容为农村公路的标志标牌，标线，挡墙，轮廓标，钢护柱，波形梁钢护栏等公路附属设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一是贯彻落实国家、自治区、自治州有关公路交通运输行业的法律、法规、规章和措施，并组织实施和监督检查。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二是拟订县农村公路网、交通运输业发展规划和中长期计划并监督实施。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组织县交通运输管理工作。承担辖区内城市客运线路、车辆、站场等管理工作；做好本行业交通运输安全生产的监督管理工作；负责组织和监督城市客运燃油消耗申报及油价补贴专项资金发放工作；负责城市公交、出租汽车管理工作；指导县交通运输行业体制改革；培育和管理交通运输市场，维护交通运输行业的平等竞争秩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承担农村公路建设市场监管工作。监督实施农村公路工程建设相关政策、制度和技术标准，组织协调县农村公路工程建设和工程质量、安全生产监督管理工作，维护交通基础设施建设秩序。负责辖区内农村公路交通基础设施的建设、管理和维护工作。负责权限内交通运输许可工作，负责全县农村公路路政管理工作，依法保护农村公路路产路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是承担县农村公路养护管理责任。编制并上报农村公路养护建议计划，管理农村公路养护资金，组织培训养护管理人员，组织实施并指导监督农村公路管理养护工作；依法组织编制公路灾害防治预案、专项应急预案，报县人民政府批准后实施。负责县农村公路的安全保护工作。负责农村公路货运车辆超限治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六是负责并指导全县交通运输行业统计工作；负责做好全县农村公路及客运站点建设的财务管理及统计工作，配合相关单位做好农村公路及客运站点建设的项目审计工作；配合物价部门拟订交通运输行业价格，会同有关部门监督执行交通行业价格、税收及相关政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七是指导全县交通运输行业体制改革。会同县有关部门培育交通运输市场、交通建设市场，负责管理农村公路养护市场。负责交通运输行业信用体系建设工作。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八是负责全县交通运输行业安全生产的监督管理。督促和指导城市客运企业和行业管理部门落实安全生产主体责任；制定有关交通运输安全生产和应急管理制度，指导有关安全生产和应急处置体系建设，制定交通运输行业安全稳定工作预案，组织开展应急救援演练工作；组织开展交通运输行业安全生产大检查专项整治，监督道路运输、农村公路建设、客运站场的各类安全隐患整改落实，配合有关部门开展交通安全专项整治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九是贯彻执行交通行业科技政策、技术标准和规范；做好全县交通运输行业职业教育、职工队伍建设和精神文明建设工作；做好交通运输行业环境保护和节能减排工作。组织交通运输行业统计、运行分析工作。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十是监督指导交通运输综合行政执法工作，负责做好交通运输行业的法治宣传、行政复议、行政应诉、行政执法和监督工作。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十一是负责全县交通战备工作。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十二是完成县党委、县人民政府交办的其他任务。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交通运输局机构设置：无下属预算单位，内设5个科室，分别是：办公室、运输管理科、路政稽查科、质量监督科、政务大厅。吉木萨尔县交通运输局人员总数37名，其中：在职24名，退休10名，离休0名,员额控制岗人员3名。实有在编人员24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本项目预算资金总额为5000万元，其中：上级补助资金5000万元。2024年实际收到预算资金3087.43万元，预算资金到位率为61.74%。</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截至2024年12月31日，本项目实际支付资金3087.43万元，预算执行率100%。本项目资金主要用于支付施工费用3087.43万元。</w:t>
      </w:r>
    </w:p>
    <w:p w14:paraId="36AD066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549DDF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里程73.53千米，公路等级四级，主要实施路基路面桥涵及其交通附属设施。本项目包含标志牌，波形梁护栏，爆闪灯，凸面镜，护柱，挡墙，喷锚挂网。完成“十四五"现代综合交通运输体系发展规划范围内德综合交通，公路等年度建设任务，带动我县经济发展，为交通沿线居民带来经济收入，提供便利出行条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“新建公路里程”指标，预期指标值为“大于等于73.53千米”；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“按期完成投资”指标，预期指标值为“等于100%”；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“新建公路成本”指标，预期指标值为“小于等于42万元/千米”；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“对经济发展的促进作用”指标，预期指标值为“有效促进”；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“交通建设符合环评审批合格率”指标，预期指标值为“=100%”；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“受益群众满意度”指标，预期指标值为“大于等于90%”。</w:t>
      </w:r>
    </w:p>
    <w:p w14:paraId="7CB3975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8F97C5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2C7356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2024年农村公路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此次我单位根据《财政支出绩效评价管理暂行办法》（财预〔2020〕10号）文件要求实施评价工作，本次评价对象为吉木萨尔县2024年农村公路建设项目，评价核心为项目资金、项目产出、项目效益。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C335C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60FC45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w:t>
      </w:r>
      <w:bookmarkStart w:id="0" w:name="_GoBack"/>
      <w:bookmarkEnd w:id="0"/>
      <w:r>
        <w:rPr>
          <w:rStyle w:val="19"/>
          <w:rFonts w:hint="eastAsia" w:ascii="楷体" w:hAnsi="楷体" w:eastAsia="楷体"/>
          <w:b w:val="0"/>
          <w:bCs w:val="0"/>
          <w:spacing w:val="-4"/>
          <w:sz w:val="32"/>
          <w:szCs w:val="32"/>
        </w:rPr>
        <w:t>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A86B9E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74E8D4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张德军（评价小组组长）：主要负责项目策划和监督，全面负责项目绩效评价报告的最终质量，对评价人员出具的最终报告质量进行复核，确保评估结果的客观性；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刘祥（评价小组组员）：主要负责资料的收集，取证、数据统计分析；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李晓山（评价小组组员）：主要负责项目报告的制定，指标的研判，数据分析及报告撰写。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2D558E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A25974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经评价，本项目部分达成年初设立的绩效目标，在实施过程中取得了良好的成效，具体表现在在项目决策方面：吉木萨尔县2022年车购税农村公路建设项目（第一批）立项依据充分，立项程序规范。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项目管理方面：项目资金使用合规，项目财务管理制度健全，财务监控到位，所有资金支付均按照国库集中支付制度严格执行，现有项目管理制度执行情况良好。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项目产出方面：改善道路沿线居民出行条件，农村公路对经济发展的促进作用，有效提升基本公共服务水平，已完成工程质量合格率等于100%，项目工程及时开工率等于100%，资金支及时率付等于100%。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项目效益方面：有效提高环境整治及交通出行安全，为沿线居民带来经济收入，改善当地居民出行条件。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但在项目实施过程中也存在一些不足之处：项目实施单位监管力度不够，导致本项目未能按照预定时间完成交工验收工作。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85.2分，绩效评级为“良”。综合评价结论如下：本项目共设置三级指标数量18个，实现三级指标数量16个，总体完成率为91.68%。项目决策类指标共设置6个，满分指标5个，得分率95.24%；过程管理类指标共设置5个，满分指标4个，得分率8%；项目产出类指标共设置4个，满分指标3个，得分率66.67%；项目效益类指标共设置2个，满分指标2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20.00  15.20  20.00  20.00  10.00  85.20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95.24% 80.00% 66.67% 100.00% 100.00% 85.20%</w:t>
      </w:r>
    </w:p>
    <w:p w14:paraId="1EAE54B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62C91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28F1F3E">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吉木萨尔县发展和改革委员会下发的《关于吉木萨尔县2024年农村公路建设项目可行性研究报告的批复》（吉县发改〔2024〕48号）中：“所有项目工程建设要满足国家、自治区、州有关技术、安全、消防节能和环保等要求。”；本项目立项符合项目立项与部门职责范围相符，</w:t>
      </w:r>
      <w:r>
        <w:rPr>
          <w:rStyle w:val="19"/>
          <w:rFonts w:hint="eastAsia" w:ascii="楷体" w:hAnsi="楷体" w:eastAsia="楷体"/>
          <w:b w:val="0"/>
          <w:bCs w:val="0"/>
          <w:spacing w:val="-4"/>
          <w:sz w:val="32"/>
          <w:szCs w:val="32"/>
          <w:lang w:val="en-US" w:eastAsia="zh-CN"/>
        </w:rPr>
        <w:t>属于部门</w:t>
      </w:r>
      <w:r>
        <w:rPr>
          <w:rStyle w:val="19"/>
          <w:rFonts w:hint="eastAsia" w:ascii="楷体" w:hAnsi="楷体" w:eastAsia="楷体"/>
          <w:b w:val="0"/>
          <w:bCs w:val="0"/>
          <w:spacing w:val="-4"/>
          <w:sz w:val="32"/>
          <w:szCs w:val="32"/>
        </w:rPr>
        <w:t>履职所需，项目属于公共财政支持范围，符合地方事权支出责任划分原则符合行业发展规划和政策要求；本项目立项符合《吉木萨尔县交通运输局单位配置内设机构和人员编制规定》中职责范围中的“负责辖区内农村公路交通基础设施的建设、管理和维护工作。”，属于我单位履职所需；根据《财政资金直接支付申请书》，本项目资金性质为“公共财政预算”功能分类为“基础设施建设”经济分类为“基础设施建设”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州财政局《关于提前下达2024年车辆购置税收入补助地方【第一批】普通省道及农村公路建设“以奖代补”资金预算的通知》（昌州财建〔2023〕159号）文件要求，经吉木萨尔县发展和改革委员会审核，下发《关于吉木萨尔县2024年农村公路建设项目可行性研究报告的批复》（吉县发改〔2024〕48号）批复文件，本项目正式设立。经查看，该项目立项过程产生的相关文件，符合相关要求。已委托新疆晋昌交通勘察设计研究院有限公司单位编制《吉木萨尔县2024年农村公路建设项目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项目里程73.53千米，公路等级四级，主要实施路基路面桥涵及其交通附属设施。本项目包含标志牌，波形梁护栏，爆闪灯，凸面镜，护柱，挡墙，喷锚挂网。完成“十四五"现代综合交通运输体系发展规划范围内德综合交通，公路等年度建设任务，带动我县经济发展，为交通沿线居民带来经济收入，提供便利出行条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项目里程73.53千米，公路等级四级，主要实施路基路面桥涵及其交通附属设施。本项目包含标志牌，波形梁护栏，爆闪灯，凸面镜，护柱，挡墙，喷锚挂网。完成“十四五"现代综合交通运输体系发展规划范围内德综合交通，公路等年度建设任务，带动我县经济发展，为交通沿线居民带来经济收入，提供便利出行条件。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新建四级农村公路73.53公里，按期完成投资，新建公路成本42万元/公里；完成“十四五"现代综合交通运输体系发展规划范围内德综合交通，公路等年度建设任务，带动我县经济发展，为交通沿线居民带来经济收入，提供便利出行条件。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④该项目批复的预算金额为3087.43万元，《项目支出绩效目标表》中预算金额为3087.43万元，预算确定的项目资金与预算确定的项目投资额相匹配。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7个，定量指标6个，定性指标1个，指标量化率为85.71%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新建公路里程”，三级指标的年度指标值与年度绩效目标中任务数一致，已设置时效指标“按期完成投资”。时限性指标设置较不明确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综上所述，本指标满分为3.00分，根据评分标准得2.00分，本项目所设置绩效指标较明确。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初步设计，按设计概算编制本项目预算，即预算编制较科学且经过论证；预算申请内容为项目里程73.53千米，公路等级四级，主要实施路基路面桥涵及其交通附属设施。本项目包含标志牌，波形梁护栏，爆闪灯，凸面镜，护柱，挡墙，喷锚挂网，项目实际内容为项目里程73.53千米，公路等级四级，主要实施路基路面桥涵及其交通附属设施。本项目包含标志牌，波形梁护栏，爆闪灯，凸面镜，护柱，挡墙，喷锚挂网。，预算申请与关于《吉木萨尔县2024年农村公路建设项目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5000万元，我单位在预算申请中严格按照项目实施内容及测算标准进行核算，其中：施工费用4084.08006万元、设计及可研报告编制费用85.32万元、第三方检测费用19.9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吉木萨尔县2024年农村公路建设项目资金的请示》和《吉木萨尔县2024年农村公路建设项目项目实施方案》为依据进行资金分配，预算资金分配依据充分。根据《关于提前下达2024年车辆购置税收入补助地方【第一批】普通省道及农村公路建设“以奖代补”资金预算的通知》（昌州财建〔2023〕159号），本项目实际到位资金5000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0889421E">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35456C6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本项目预算资金为5000万元，其中：财政安排资金3087.43万元，其他资金0万元，实际到位资金3087.43万元，资金到位率62%。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综上所述，本指标满分为4.00分，根据评分标准得0.20分，本项目资金到位62%。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本项目实际支出资金3087.43万元，预算执行率100%；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项目已完成，总体完成率为100%；得分5分。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交通运输局专项资金管理办法》、《吉木萨尔县交通运输局财务管理制度》、《吉木萨尔县交通运输局财务内部控制制度》、《吉木萨尔县交通运输局财务票据管理制度》、《吉木萨尔县交通运输局财务档案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吉木萨尔县交通运输局专项资金管理办法》、《吉木萨尔县交通运输局财务管理制度》、《吉木萨尔县交通运输局财务内部控制制度》、《吉木萨尔县交通运输局财务票据管理制度》、《吉木萨尔县交通运输局财务档案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农村公路管理办法》、《吉木萨尔县交通运输局采购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2024年农村公路建设项目工作领导小组，由胡振新任组长，负责项目的组织工作；徐翔任副组长，负责项目的实施工作；组员包括：朱廷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6CC872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64E2601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项目产出类指标由4个二级指标和4个三级指标构成，权重分30.00分，实际得分24.00分。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“新建公路里程”指标：预期指标值为“大于等于73.53公里”，实际完成指标值为“等于73.53公里”，指标完成率为100.00%。根据2024年农村公路建设项目施工合同显示，实际完成值为73.53公里。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综上所述，本指标满分为9.00分，根据评分标准得9.00分。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“工程验收合格率”指标：预期指标值为“等于100%”，实际完成指标值为“0”，指标完成率为0%。扣分原因分析：本项目按阶段支付工程款，由于项目还未完工，故无法验收。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“按期完成投资”指标：预期指标值为“等于100%”，实际完成指标值为“等于100%”，指标完成率为100%%。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“新建公路成本”指标：预期指标值为“小于等于42万元/公里”，实际完成指标值为“等于42万元/公里”，指标完成率为100%。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F9391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3410781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项目效益类指标由2个二级指标和2个三级指标构成，权重分20.00分，实际得分2分。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“对经济发展的促进作用”指标：预期指标值为“有效促进”，实际完成指标值为“有效促进”，指标完成率为100%。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“交通建设符合环评审批合格率”指标：预期指标值为“等于100%”，实际完成指标值为“等于100%”，指标完成率为100%%。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00532E8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“受益群众满意度”指标：预期指标值为“大于等于90%”，实际完成指标值为“100%”，指标完成率为111%。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52F075ED">
      <w:pPr>
        <w:spacing w:line="540" w:lineRule="exact"/>
        <w:ind w:firstLine="567"/>
        <w:rPr>
          <w:rStyle w:val="19"/>
          <w:rFonts w:hint="eastAsia" w:ascii="楷体" w:hAnsi="楷体" w:eastAsia="楷体"/>
          <w:b w:val="0"/>
          <w:bCs w:val="0"/>
          <w:spacing w:val="-4"/>
          <w:sz w:val="32"/>
          <w:szCs w:val="32"/>
        </w:rPr>
      </w:pPr>
    </w:p>
    <w:p w14:paraId="35265909">
      <w:pPr>
        <w:spacing w:line="540" w:lineRule="exact"/>
        <w:ind w:firstLine="567"/>
        <w:rPr>
          <w:rStyle w:val="19"/>
          <w:rFonts w:ascii="楷体" w:hAnsi="楷体" w:eastAsia="楷体"/>
          <w:spacing w:val="-4"/>
          <w:sz w:val="32"/>
          <w:szCs w:val="32"/>
        </w:rPr>
      </w:pPr>
    </w:p>
    <w:p w14:paraId="7377FF20">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5E8062F1">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一是本项目能够严格按照《项目实施方案》执行，事前有安排、事后有总结、项目执行情况较好。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二是加强组织领导，本项目绩效评价工作，单位主要领导亲自挂帅，分管领导具体负责，全单位通力配合、从项目到资金，均能很好的执行。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三是加强沟通协调，单位各相关科室之间相互沟通，集中主要力量，确保项目按期完成。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一是对各项指标和指标值要进一步优化、完善，主要在细化、量化上改进，并与具体工作紧密配合，做到客观、如实的评价项目工作。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二是自评价工作还存在自我审定的局限性，会影响评价质量，容易造成问题的疏漏，在客观性和公正性上说服力不强。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三是缺少带着问题去评价的意识，评价不够细致深入。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四是现场评价的方法有限，后续效益评价具体措施和方法较少。</w:t>
      </w:r>
    </w:p>
    <w:p w14:paraId="0FA6170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7F040F0E">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1.项目评价资料有待进一步完善。项目启动时同步做好档案的归纳与整理，及时整理、收集、汇总，健全档案资料。项目后续管理有待进一步加强和跟踪。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2.通过绩效管理，发现实施中存在漏洞，以后加强管理，及时掌握与之相关的各类信息，减少成本，使资金效益最大化。</w:t>
      </w:r>
    </w:p>
    <w:p w14:paraId="128DD3E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A6788E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CA361F1">
      <w:pPr>
        <w:spacing w:line="540" w:lineRule="exact"/>
        <w:ind w:firstLine="567"/>
        <w:rPr>
          <w:rStyle w:val="19"/>
          <w:rFonts w:ascii="仿宋" w:hAnsi="仿宋" w:eastAsia="仿宋"/>
          <w:b w:val="0"/>
          <w:spacing w:val="-4"/>
          <w:sz w:val="32"/>
          <w:szCs w:val="32"/>
        </w:rPr>
      </w:pPr>
    </w:p>
    <w:p w14:paraId="3FB7C7D9">
      <w:pPr>
        <w:spacing w:line="540" w:lineRule="exact"/>
        <w:ind w:firstLine="567"/>
        <w:rPr>
          <w:rStyle w:val="19"/>
          <w:rFonts w:ascii="仿宋" w:hAnsi="仿宋" w:eastAsia="仿宋"/>
          <w:b w:val="0"/>
          <w:spacing w:val="-4"/>
          <w:sz w:val="32"/>
          <w:szCs w:val="32"/>
        </w:rPr>
      </w:pPr>
    </w:p>
    <w:p w14:paraId="14E97144">
      <w:pPr>
        <w:spacing w:line="540" w:lineRule="exact"/>
        <w:ind w:firstLine="567"/>
        <w:rPr>
          <w:rStyle w:val="19"/>
          <w:rFonts w:ascii="仿宋" w:hAnsi="仿宋" w:eastAsia="仿宋"/>
          <w:b w:val="0"/>
          <w:spacing w:val="-4"/>
          <w:sz w:val="32"/>
          <w:szCs w:val="32"/>
        </w:rPr>
      </w:pPr>
    </w:p>
    <w:p w14:paraId="0FDA7D71">
      <w:pPr>
        <w:spacing w:line="540" w:lineRule="exact"/>
        <w:ind w:firstLine="567"/>
        <w:rPr>
          <w:rStyle w:val="19"/>
          <w:rFonts w:ascii="仿宋" w:hAnsi="仿宋" w:eastAsia="仿宋"/>
          <w:b w:val="0"/>
          <w:spacing w:val="-4"/>
          <w:sz w:val="32"/>
          <w:szCs w:val="32"/>
        </w:rPr>
      </w:pPr>
    </w:p>
    <w:p w14:paraId="42EE244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06DF3D-B192-4620-8B57-59C4D6EEDC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FFF5DAC-0747-4F95-A205-6FC9DEA589C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8DAB96D-EA14-45A1-8D0F-72B67FF8AEA8}"/>
  </w:font>
  <w:font w:name="华文中宋">
    <w:panose1 w:val="02010600040101010101"/>
    <w:charset w:val="86"/>
    <w:family w:val="auto"/>
    <w:pitch w:val="default"/>
    <w:sig w:usb0="00000287" w:usb1="080F0000" w:usb2="00000000" w:usb3="00000000" w:csb0="0004009F" w:csb1="DFD70000"/>
    <w:embedRegular r:id="rId4" w:fontKey="{EA1D92B2-3027-4AB5-BF20-A0DE77D9C42A}"/>
  </w:font>
  <w:font w:name="方正小标宋_GBK">
    <w:panose1 w:val="02000000000000000000"/>
    <w:charset w:val="86"/>
    <w:family w:val="script"/>
    <w:pitch w:val="default"/>
    <w:sig w:usb0="A00002BF" w:usb1="38CF7CFA" w:usb2="00082016" w:usb3="00000000" w:csb0="00040001" w:csb1="00000000"/>
    <w:embedRegular r:id="rId5" w:fontKey="{909820D1-DE7A-4F3C-91E7-F3E1D1A9CAA5}"/>
  </w:font>
  <w:font w:name="仿宋_GB2312">
    <w:panose1 w:val="02010609030101010101"/>
    <w:charset w:val="86"/>
    <w:family w:val="modern"/>
    <w:pitch w:val="default"/>
    <w:sig w:usb0="00000001" w:usb1="080E0000" w:usb2="00000000" w:usb3="00000000" w:csb0="00040000" w:csb1="00000000"/>
    <w:embedRegular r:id="rId6" w:fontKey="{A118A385-135C-4861-9044-8A32D15CEF2B}"/>
  </w:font>
  <w:font w:name="楷体">
    <w:panose1 w:val="02010609060101010101"/>
    <w:charset w:val="86"/>
    <w:family w:val="modern"/>
    <w:pitch w:val="default"/>
    <w:sig w:usb0="800002BF" w:usb1="38CF7CFA" w:usb2="00000016" w:usb3="00000000" w:csb0="00040001" w:csb1="00000000"/>
    <w:embedRegular r:id="rId7" w:fontKey="{92DB0373-AFAE-4D58-864E-5FF51D23E78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668D6EE">
        <w:pPr>
          <w:pStyle w:val="12"/>
          <w:jc w:val="center"/>
        </w:pPr>
        <w:r>
          <w:fldChar w:fldCharType="begin"/>
        </w:r>
        <w:r>
          <w:instrText xml:space="preserve">PAGE   \* MERGEFORMAT</w:instrText>
        </w:r>
        <w:r>
          <w:fldChar w:fldCharType="separate"/>
        </w:r>
        <w:r>
          <w:rPr>
            <w:lang w:val="zh-CN"/>
          </w:rPr>
          <w:t>2</w:t>
        </w:r>
        <w:r>
          <w:fldChar w:fldCharType="end"/>
        </w:r>
      </w:p>
    </w:sdtContent>
  </w:sdt>
  <w:p w14:paraId="4AA108C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4BCA103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d1d981fa-964a-43f8-8c8f-9588bf0b5fb6}">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11486</Words>
  <Characters>12266</Characters>
  <Lines>4</Lines>
  <Paragraphs>1</Paragraphs>
  <TotalTime>7</TotalTime>
  <ScaleCrop>false</ScaleCrop>
  <LinksUpToDate>false</LinksUpToDate>
  <CharactersWithSpaces>12315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2025-10-13T10:44:42Z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eyJoZGlkIjoiMGIxZTI3ODM4ZmVjOGE5NDFiYmE3OTRiMjQ5OTEyNzIiLCJ1c2VySWQiOiIzNzI2MDMzNTYifQ==</vt:lpwstr>
  </property>
</Properties>
</file>